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ind w:firstLine="0" w:firstLineChars="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ind w:firstLine="0" w:firstLineChars="0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ind w:firstLine="0" w:firstLineChars="0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</w:t>
      </w:r>
      <w:r>
        <w:rPr>
          <w:rFonts w:hint="default" w:ascii="Arial Unicode MS" w:hAnsi="Times New Roman" w:eastAsia="Arial Unicode MS" w:cs="Arial Unicode MS"/>
          <w:sz w:val="28"/>
          <w:szCs w:val="28"/>
          <w:lang w:val="en" w:bidi="ar-SA"/>
        </w:rPr>
        <w:t>19</w:t>
      </w:r>
    </w:p>
    <w:p>
      <w:pPr>
        <w:spacing w:line="360" w:lineRule="auto"/>
        <w:ind w:firstLine="0" w:firstLineChars="0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0" w:firstLineChars="0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ind w:firstLine="0" w:firstLineChars="0"/>
        <w:jc w:val="center"/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草海桐</w:t>
      </w:r>
    </w:p>
    <w:p>
      <w:pPr>
        <w:ind w:firstLine="0" w:firstLineChars="0"/>
        <w:jc w:val="center"/>
        <w:rPr>
          <w:rFonts w:hint="default" w:ascii="Times New Roman" w:hAnsi="Times New Roman" w:eastAsia="黑体" w:cs="Times New Roman"/>
          <w:color w:val="000000"/>
        </w:rPr>
      </w:pPr>
      <w:bookmarkStart w:id="1" w:name="_GoBack"/>
      <w:r>
        <w:rPr>
          <w:rFonts w:hint="default" w:ascii="Times New Roman" w:hAnsi="Times New Roman" w:eastAsia="黑体" w:cs="Times New Roman"/>
          <w:color w:val="000000"/>
        </w:rPr>
        <w:t>Caohaitong</w:t>
      </w:r>
    </w:p>
    <w:bookmarkEnd w:id="1"/>
    <w:p>
      <w:pPr>
        <w:ind w:firstLine="562"/>
        <w:jc w:val="center"/>
        <w:rPr>
          <w:rFonts w:ascii="Calibri" w:hAnsi="Calibri" w:eastAsia="黑体" w:cs="Times New Roman"/>
          <w:b/>
          <w:color w:val="000000"/>
          <w:sz w:val="28"/>
        </w:rPr>
      </w:pPr>
      <w:r>
        <w:rPr>
          <w:rFonts w:ascii="Times New Roman" w:hAnsi="Times New Roman" w:eastAsia="黑体" w:cs="Times New Roman"/>
          <w:b/>
          <w:sz w:val="28"/>
        </w:rPr>
        <w:t>S</w:t>
      </w:r>
      <w:r>
        <w:rPr>
          <w:rFonts w:hint="eastAsia" w:ascii="Times New Roman" w:hAnsi="Times New Roman" w:eastAsia="黑体" w:cs="Times New Roman"/>
          <w:b/>
          <w:sz w:val="28"/>
        </w:rPr>
        <w:t>CAEVOLA</w:t>
      </w:r>
      <w:r>
        <w:rPr>
          <w:rFonts w:hint="eastAsia" w:ascii="Times New Roman" w:hAnsi="Times New Roman" w:eastAsia="黑体" w:cs="Times New Roman"/>
          <w:b/>
          <w:sz w:val="28"/>
          <w:lang w:val="en-US" w:eastAsia="zh-CN"/>
        </w:rPr>
        <w:t>E</w:t>
      </w:r>
      <w:r>
        <w:rPr>
          <w:rFonts w:ascii="Times New Roman" w:hAnsi="Times New Roman" w:eastAsia="黑体" w:cs="Times New Roman"/>
          <w:b/>
          <w:sz w:val="28"/>
        </w:rPr>
        <w:t xml:space="preserve"> </w:t>
      </w:r>
      <w:r>
        <w:rPr>
          <w:rFonts w:hint="eastAsia" w:ascii="Times New Roman" w:hAnsi="Times New Roman" w:eastAsia="黑体" w:cs="Times New Roman"/>
          <w:b/>
          <w:sz w:val="28"/>
        </w:rPr>
        <w:t>TACCADA</w:t>
      </w:r>
      <w:r>
        <w:rPr>
          <w:rFonts w:hint="eastAsia" w:ascii="Times New Roman" w:hAnsi="Times New Roman" w:eastAsia="黑体" w:cs="Times New Roman"/>
          <w:b/>
          <w:sz w:val="28"/>
          <w:lang w:val="en-US" w:eastAsia="zh-CN"/>
        </w:rPr>
        <w:t>E</w:t>
      </w:r>
      <w:r>
        <w:rPr>
          <w:rFonts w:hint="eastAsia" w:ascii="Times New Roman" w:hAnsi="Times New Roman" w:eastAsia="黑体" w:cs="Times New Roman"/>
          <w:b/>
          <w:sz w:val="28"/>
        </w:rPr>
        <w:t xml:space="preserve"> HERBA</w:t>
      </w:r>
    </w:p>
    <w:p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kern w:val="0"/>
          <w:szCs w:val="24"/>
        </w:rPr>
        <w:t>本品为</w:t>
      </w:r>
      <w:r>
        <w:rPr>
          <w:rFonts w:hint="eastAsia" w:ascii="Times New Roman" w:hAnsi="Times New Roman" w:cs="Times New Roman"/>
          <w:kern w:val="0"/>
          <w:szCs w:val="24"/>
        </w:rPr>
        <w:t>草海桐科植物</w:t>
      </w:r>
      <w:r>
        <w:rPr>
          <w:rFonts w:ascii="Times New Roman" w:hAnsi="Times New Roman" w:cs="Times New Roman"/>
          <w:kern w:val="0"/>
          <w:szCs w:val="24"/>
        </w:rPr>
        <w:t>草海桐</w:t>
      </w:r>
      <w:r>
        <w:rPr>
          <w:rFonts w:ascii="Times New Roman" w:hAnsi="Times New Roman" w:cs="Times New Roman"/>
          <w:i/>
          <w:szCs w:val="24"/>
        </w:rPr>
        <w:t>Scaevola taccada</w:t>
      </w:r>
      <w:r>
        <w:rPr>
          <w:rFonts w:hint="eastAsia" w:ascii="Times New Roman" w:hAnsi="Times New Roman" w:cs="Times New Roman"/>
          <w:i w:val="0"/>
          <w:iCs/>
          <w:szCs w:val="24"/>
          <w:lang w:val="en-US" w:eastAsia="zh-CN"/>
        </w:rPr>
        <w:t>（Gaertn.）Roxb.</w:t>
      </w:r>
      <w:r>
        <w:rPr>
          <w:rFonts w:ascii="Times New Roman" w:hAnsi="Times New Roman" w:cs="Times New Roman"/>
          <w:kern w:val="0"/>
          <w:szCs w:val="24"/>
        </w:rPr>
        <w:t>的干燥</w:t>
      </w:r>
      <w:r>
        <w:rPr>
          <w:rFonts w:hint="eastAsia" w:ascii="Times New Roman" w:hAnsi="Times New Roman" w:cs="Times New Roman"/>
          <w:kern w:val="0"/>
          <w:szCs w:val="24"/>
          <w:lang w:val="en-US" w:eastAsia="zh-CN"/>
        </w:rPr>
        <w:t>地上部分</w:t>
      </w:r>
      <w:r>
        <w:rPr>
          <w:rFonts w:ascii="Times New Roman" w:hAnsi="Times New Roman" w:cs="Times New Roman"/>
          <w:kern w:val="0"/>
          <w:szCs w:val="24"/>
        </w:rPr>
        <w:t>。</w:t>
      </w:r>
      <w:r>
        <w:rPr>
          <w:rFonts w:ascii="Times New Roman" w:hAnsi="Times New Roman" w:cs="Times New Roman"/>
          <w:color w:val="000000"/>
        </w:rPr>
        <w:t>全年可采，除去杂质，干燥。</w:t>
      </w:r>
    </w:p>
    <w:p>
      <w:pPr>
        <w:rPr>
          <w:rFonts w:ascii="Times New Roman" w:hAnsi="Times New Roman" w:eastAsia="黑体" w:cs="Times New Roman"/>
          <w:bCs/>
          <w:kern w:val="0"/>
          <w:lang w:val="zh-CN"/>
        </w:rPr>
      </w:pPr>
      <w:r>
        <w:rPr>
          <w:rFonts w:hint="eastAsia" w:ascii="Times New Roman" w:hAnsi="Times New Roman" w:eastAsia="黑体" w:cs="Times New Roman"/>
          <w:bCs/>
          <w:kern w:val="0"/>
          <w:lang w:val="zh-CN"/>
        </w:rPr>
        <w:t>【性状】</w:t>
      </w:r>
      <w:r>
        <w:rPr>
          <w:rFonts w:hint="default" w:ascii="Times New Roman" w:hAnsi="Times New Roman" w:eastAsia="宋体" w:cs="Times New Roman"/>
          <w:bCs/>
          <w:kern w:val="0"/>
          <w:lang w:val="en-US" w:eastAsia="zh-CN"/>
        </w:rPr>
        <w:t>本品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茎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呈圆柱形，长短不一，直径0.5～2cm，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表面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黄棕色至棕褐色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，具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细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纵纹</w:t>
      </w:r>
      <w:r>
        <w:rPr>
          <w:rFonts w:hint="eastAsia" w:ascii="Times New Roman" w:hAnsi="Times New Roman" w:cs="Times New Roman"/>
          <w:bCs/>
          <w:kern w:val="0"/>
          <w:lang w:val="zh-CN"/>
        </w:rPr>
        <w:t>、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点状皮孔及叶痕</w:t>
      </w:r>
      <w:r>
        <w:rPr>
          <w:rFonts w:hint="eastAsia" w:ascii="Times New Roman" w:hAnsi="Times New Roman" w:cs="Times New Roman"/>
          <w:bCs/>
          <w:kern w:val="0"/>
          <w:lang w:val="zh-CN"/>
        </w:rPr>
        <w:t>，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髓部发达，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类白色。小枝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较细，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黄绿色至暗褐色。叶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多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集中于小枝顶端</w:t>
      </w:r>
      <w:r>
        <w:rPr>
          <w:rFonts w:hint="eastAsia" w:ascii="Times New Roman" w:hAnsi="Times New Roman" w:cs="Times New Roman"/>
          <w:bCs/>
          <w:kern w:val="0"/>
          <w:lang w:val="zh-CN"/>
        </w:rPr>
        <w:t>，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螺旋状排列，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绿色至暗绿色，皱缩或破碎，完整者展平后为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匙形至倒卵形，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长10～22cm，宽4～8cm，顶端</w:t>
      </w:r>
      <w:r>
        <w:rPr>
          <w:rFonts w:hint="default" w:ascii="Times New Roman" w:hAnsi="Times New Roman" w:cs="Times New Roman"/>
        </w:rPr>
        <w:t>圆钝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eastAsia" w:ascii="Times New Roman" w:hAnsi="Times New Roman" w:cs="Times New Roman"/>
          <w:lang w:val="en-US" w:eastAsia="zh-CN"/>
        </w:rPr>
        <w:t>平截</w:t>
      </w:r>
      <w:r>
        <w:rPr>
          <w:rFonts w:hint="default" w:ascii="Times New Roman" w:hAnsi="Times New Roman" w:cs="Times New Roman"/>
        </w:rPr>
        <w:t>或微凸，基部楔形，全缘或边缘微波状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无毛或背面疏被毛，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无柄或具短柄</w:t>
      </w:r>
      <w:r>
        <w:rPr>
          <w:rFonts w:hint="eastAsia" w:ascii="Times New Roman" w:hAnsi="Times New Roman" w:cs="Times New Roman"/>
          <w:bCs/>
          <w:kern w:val="0"/>
          <w:lang w:val="zh-CN"/>
        </w:rPr>
        <w:t>。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叶腋簇生白色须毛。气微，味淡。</w:t>
      </w:r>
    </w:p>
    <w:p>
      <w:pPr>
        <w:rPr>
          <w:rFonts w:hint="default" w:ascii="Times New Roman" w:hAnsi="Times New Roman" w:eastAsia="宋体" w:cs="Times New Roman"/>
          <w:bCs/>
          <w:kern w:val="0"/>
          <w:lang w:val="zh-CN"/>
        </w:rPr>
      </w:pPr>
      <w:r>
        <w:rPr>
          <w:rFonts w:hint="eastAsia" w:ascii="Times New Roman" w:hAnsi="Times New Roman" w:eastAsia="黑体" w:cs="Times New Roman"/>
          <w:bCs/>
          <w:kern w:val="0"/>
          <w:lang w:val="zh-CN"/>
        </w:rPr>
        <w:t>【鉴别】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（1）本品茎横切面：表皮细胞1列，外壁增厚，下面有多列木栓细胞。皮层宽广，有的薄壁细胞内含草酸钙小簇晶。中柱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鞘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纤维束断续排列成环，韧皮部窄，形成层不明显。木质部较窄，木射线1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～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4列。髓部宽广，有的薄壁细胞内含草酸钙小簇晶。</w:t>
      </w:r>
    </w:p>
    <w:p>
      <w:pPr>
        <w:rPr>
          <w:rFonts w:hint="default" w:ascii="Times New Roman" w:hAnsi="Times New Roman" w:eastAsia="宋体" w:cs="Times New Roman"/>
          <w:bCs/>
          <w:kern w:val="0"/>
          <w:lang w:val="zh-CN"/>
        </w:rPr>
      </w:pPr>
      <w:r>
        <w:rPr>
          <w:rFonts w:hint="default" w:ascii="Times New Roman" w:hAnsi="Times New Roman" w:eastAsia="宋体" w:cs="Times New Roman"/>
          <w:bCs/>
          <w:kern w:val="0"/>
          <w:lang w:val="zh-CN"/>
        </w:rPr>
        <w:t>粉末黄绿色至灰绿色。木栓细胞表面观多角形，壁稍厚。木纤维成束或单个散在，壁厚，直径7～40μm，具单斜纹孔或十字纹孔。草酸钙簇晶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存在于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薄壁细胞中，直径5～15μm。菊糖扇形或不规则形。非腺毛直径10～20μm</w:t>
      </w:r>
      <w:r>
        <w:rPr>
          <w:rFonts w:hint="eastAsia" w:ascii="Times New Roman" w:hAnsi="Times New Roman" w:cs="Times New Roman"/>
          <w:bCs/>
          <w:kern w:val="0"/>
          <w:lang w:val="zh-CN"/>
        </w:rPr>
        <w:t>，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单细胞非腺毛壁厚，多细胞非腺毛壁薄。导管有网纹导管、梯纹导管及具缘纹孔导管。薄壁细胞类圆形，</w:t>
      </w:r>
      <w:r>
        <w:rPr>
          <w:rFonts w:hint="eastAsia" w:ascii="Times New Roman" w:hAnsi="Times New Roman" w:cs="Times New Roman"/>
          <w:bCs/>
          <w:kern w:val="0"/>
          <w:lang w:val="en-US" w:eastAsia="zh-CN"/>
        </w:rPr>
        <w:t>有的可</w:t>
      </w:r>
      <w:r>
        <w:rPr>
          <w:rFonts w:hint="default" w:ascii="Times New Roman" w:hAnsi="Times New Roman" w:eastAsia="宋体" w:cs="Times New Roman"/>
          <w:bCs/>
          <w:kern w:val="0"/>
          <w:lang w:val="zh-CN"/>
        </w:rPr>
        <w:t>见纹孔。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（2）取本品粉末1g，加甲醇10ml，超声</w:t>
      </w:r>
      <w:r>
        <w:rPr>
          <w:rFonts w:hint="eastAsia" w:ascii="Times New Roman" w:hAnsi="Times New Roman" w:cs="Times New Roman"/>
        </w:rPr>
        <w:t>处理</w:t>
      </w:r>
      <w:r>
        <w:rPr>
          <w:rFonts w:ascii="Times New Roman" w:hAnsi="Times New Roman" w:cs="Times New Roman"/>
        </w:rPr>
        <w:t>30分钟，滤过，滤液蒸干，残渣加甲醇1ml使溶解，作为供试品溶液。另取草海桐对照药材1g，同法制成对照药材溶液。照薄层色谱法（《中国药典》2025年版通则0502）试验，吸取</w:t>
      </w:r>
      <w:r>
        <w:rPr>
          <w:rFonts w:hint="eastAsia" w:ascii="Times New Roman" w:hAnsi="Times New Roman" w:cs="Times New Roman"/>
        </w:rPr>
        <w:t>上述两种溶液</w:t>
      </w:r>
      <w:r>
        <w:rPr>
          <w:rFonts w:ascii="Times New Roman" w:hAnsi="Times New Roman" w:cs="Times New Roman"/>
        </w:rPr>
        <w:t>各2μ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，分别点于同一硅胶GF</w:t>
      </w:r>
      <w:r>
        <w:rPr>
          <w:rFonts w:ascii="Times New Roman" w:hAnsi="Times New Roman" w:cs="Times New Roman"/>
          <w:vertAlign w:val="subscript"/>
        </w:rPr>
        <w:t>254</w:t>
      </w:r>
      <w:r>
        <w:rPr>
          <w:rFonts w:ascii="Times New Roman" w:hAnsi="Times New Roman" w:cs="Times New Roman"/>
        </w:rPr>
        <w:t>板上，以甲苯</w:t>
      </w:r>
      <w:r>
        <w:rPr>
          <w:rFonts w:hint="eastAsia" w:ascii="Times New Roman" w:hAnsi="Times New Roman" w:cs="Times New Roman"/>
          <w:lang w:eastAsia="zh-CN"/>
        </w:rPr>
        <w:t>－</w:t>
      </w:r>
      <w:r>
        <w:rPr>
          <w:rFonts w:ascii="Times New Roman" w:hAnsi="Times New Roman" w:cs="Times New Roman"/>
        </w:rPr>
        <w:t>乙酸乙酯-甲酸-水（17</w:t>
      </w:r>
      <w:bookmarkStart w:id="0" w:name="_Hlk205912279"/>
      <w:r>
        <w:rPr>
          <w:rFonts w:ascii="Times New Roman" w:hAnsi="Times New Roman" w:cs="Times New Roman"/>
          <w:szCs w:val="24"/>
        </w:rPr>
        <w:t>:</w:t>
      </w:r>
      <w:bookmarkEnd w:id="0"/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szCs w:val="24"/>
        </w:rPr>
        <w:t>: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szCs w:val="24"/>
        </w:rPr>
        <w:t>:</w:t>
      </w:r>
      <w:r>
        <w:rPr>
          <w:rFonts w:ascii="Times New Roman" w:hAnsi="Times New Roman" w:cs="Times New Roman"/>
        </w:rPr>
        <w:t>2）</w:t>
      </w:r>
      <w:r>
        <w:rPr>
          <w:rFonts w:hint="eastAsia" w:ascii="Times New Roman" w:hAnsi="Times New Roman" w:cs="Times New Roman"/>
        </w:rPr>
        <w:t>的上层溶液</w:t>
      </w:r>
      <w:r>
        <w:rPr>
          <w:rFonts w:ascii="Times New Roman" w:hAnsi="Times New Roman" w:cs="Times New Roman"/>
        </w:rPr>
        <w:t>为展开剂，展开，取出，晾干，喷以10%硫酸乙醇溶液，在105°C加热至斑点清晰，置紫外光灯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ascii="Times New Roman" w:hAnsi="Times New Roman" w:cs="Times New Roman"/>
        </w:rPr>
        <w:t>365nm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ascii="Times New Roman" w:hAnsi="Times New Roman" w:cs="Times New Roman"/>
        </w:rPr>
        <w:t>下检视。供试品色谱中，在与对照药材色谱相应的位置上，显相同颜色的荧光斑点。</w:t>
      </w:r>
    </w:p>
    <w:p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【检查】水分</w:t>
      </w:r>
      <w:r>
        <w:rPr>
          <w:rFonts w:ascii="Times New Roman" w:hAnsi="Times New Roman" w:cs="Times New Roman"/>
          <w:color w:val="000000"/>
        </w:rPr>
        <w:t xml:space="preserve">  不得过13.0%（《中国药典》2025年版通则0832第二法）。</w:t>
      </w:r>
    </w:p>
    <w:p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总灰分</w:t>
      </w:r>
      <w:r>
        <w:rPr>
          <w:rFonts w:ascii="Times New Roman" w:hAnsi="Times New Roman" w:cs="Times New Roman"/>
          <w:color w:val="000000"/>
        </w:rPr>
        <w:t xml:space="preserve">  不得过10.0%（《中国药典》2025年版通则2302）。</w:t>
      </w:r>
    </w:p>
    <w:p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【浸出物】</w:t>
      </w:r>
      <w:r>
        <w:rPr>
          <w:rFonts w:ascii="Times New Roman" w:hAnsi="Times New Roman" w:cs="Times New Roman"/>
          <w:color w:val="000000"/>
        </w:rPr>
        <w:t>照水溶性浸出物测定法（《中国药典》2025年版通则2201）项下的热浸法测定，不得少于29.0</w:t>
      </w:r>
      <w:r>
        <w:rPr>
          <w:rFonts w:ascii="Times New Roman" w:hAnsi="Times New Roman" w:cs="Times New Roman"/>
        </w:rPr>
        <w:t>%</w:t>
      </w:r>
      <w:r>
        <w:rPr>
          <w:rFonts w:ascii="Times New Roman" w:hAnsi="Times New Roman" w:cs="Times New Roman"/>
          <w:color w:val="000000"/>
        </w:rPr>
        <w:t>。</w:t>
      </w:r>
    </w:p>
    <w:p>
      <w:pPr>
        <w:ind w:firstLine="470" w:firstLineChars="196"/>
        <w:rPr>
          <w:rFonts w:ascii="Times New Roman" w:hAnsi="Times New Roman" w:cs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除去杂质，切段，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干燥。</w:t>
      </w:r>
    </w:p>
    <w:p>
      <w:pPr>
        <w:ind w:firstLine="470" w:firstLineChars="19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【性味与归经】</w:t>
      </w:r>
      <w:r>
        <w:rPr>
          <w:rFonts w:ascii="Times New Roman" w:hAnsi="Times New Roman" w:cs="Times New Roman"/>
          <w:color w:val="000000"/>
        </w:rPr>
        <w:t>甘、</w:t>
      </w:r>
      <w:r>
        <w:rPr>
          <w:rFonts w:hint="eastAsia" w:ascii="Times New Roman" w:hAnsi="Times New Roman" w:cs="Times New Roman"/>
          <w:color w:val="000000"/>
        </w:rPr>
        <w:t>淡</w:t>
      </w:r>
      <w:r>
        <w:rPr>
          <w:rFonts w:ascii="Times New Roman" w:hAnsi="Times New Roman" w:cs="Times New Roman"/>
          <w:color w:val="000000"/>
        </w:rPr>
        <w:t>，凉。归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肺、</w:t>
      </w:r>
      <w:r>
        <w:rPr>
          <w:rFonts w:ascii="Times New Roman" w:hAnsi="Times New Roman" w:cs="Times New Roman"/>
          <w:bCs/>
          <w:color w:val="000000"/>
        </w:rPr>
        <w:t>肝、脾</w:t>
      </w:r>
      <w:r>
        <w:rPr>
          <w:rFonts w:ascii="Times New Roman" w:hAnsi="Times New Roman" w:cs="Times New Roman"/>
          <w:color w:val="000000"/>
        </w:rPr>
        <w:t>经。</w:t>
      </w:r>
    </w:p>
    <w:p>
      <w:pPr>
        <w:ind w:firstLine="470" w:firstLineChars="19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【功能与主治】</w:t>
      </w:r>
      <w:r>
        <w:rPr>
          <w:rFonts w:ascii="Times New Roman" w:hAnsi="Times New Roman" w:cs="Times New Roman"/>
          <w:bCs/>
        </w:rPr>
        <w:t>清热解毒，利湿消肿。用于感冒发热，痈肿疮毒，</w:t>
      </w:r>
      <w:r>
        <w:rPr>
          <w:rFonts w:hint="eastAsia" w:ascii="Times New Roman" w:hAnsi="Times New Roman" w:cs="Times New Roman"/>
          <w:bCs/>
          <w:lang w:val="en-US" w:eastAsia="zh-CN"/>
        </w:rPr>
        <w:t>热淋涩痛</w:t>
      </w:r>
      <w:r>
        <w:rPr>
          <w:rFonts w:ascii="Times New Roman" w:hAnsi="Times New Roman" w:cs="Times New Roman"/>
          <w:bCs/>
        </w:rPr>
        <w:t>，水肿，风湿痹痛</w:t>
      </w:r>
      <w:r>
        <w:rPr>
          <w:rFonts w:hint="eastAsia" w:ascii="Times New Roman" w:hAnsi="Times New Roman" w:cs="Times New Roman"/>
        </w:rPr>
        <w:t>。</w:t>
      </w:r>
    </w:p>
    <w:p>
      <w:pPr>
        <w:ind w:firstLine="470" w:firstLineChars="19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黑体" w:cs="Times New Roman"/>
          <w:color w:val="000000"/>
        </w:rPr>
        <w:t>【用法与用量】</w:t>
      </w:r>
      <w:r>
        <w:rPr>
          <w:rFonts w:ascii="Times New Roman" w:hAnsi="Times New Roman" w:cs="Times New Roman"/>
          <w:color w:val="000000"/>
        </w:rPr>
        <w:t>15～30g</w:t>
      </w:r>
      <w:r>
        <w:rPr>
          <w:rFonts w:hint="eastAsia" w:ascii="Times New Roman" w:hAnsi="Times New Roman" w:cs="Times New Roman"/>
          <w:color w:val="000000"/>
        </w:rPr>
        <w:t>。</w:t>
      </w:r>
    </w:p>
    <w:p>
      <w:pPr>
        <w:ind w:firstLine="470" w:firstLineChars="196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eastAsia="黑体" w:cs="Times New Roman"/>
          <w:color w:val="000000"/>
        </w:rPr>
        <w:t>【贮藏】</w:t>
      </w:r>
      <w:r>
        <w:rPr>
          <w:rFonts w:ascii="Times New Roman" w:hAnsi="Times New Roman" w:cs="Times New Roman"/>
          <w:color w:val="000000"/>
        </w:rPr>
        <w:t>置干燥处。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C2E09"/>
    <w:rsid w:val="000104BE"/>
    <w:rsid w:val="00042855"/>
    <w:rsid w:val="00055180"/>
    <w:rsid w:val="000867EF"/>
    <w:rsid w:val="000E39E1"/>
    <w:rsid w:val="000F11B9"/>
    <w:rsid w:val="00122BCB"/>
    <w:rsid w:val="00194CD0"/>
    <w:rsid w:val="001E1381"/>
    <w:rsid w:val="002622B1"/>
    <w:rsid w:val="00294F97"/>
    <w:rsid w:val="002964CA"/>
    <w:rsid w:val="003009FF"/>
    <w:rsid w:val="003032B1"/>
    <w:rsid w:val="00412312"/>
    <w:rsid w:val="00480336"/>
    <w:rsid w:val="00506ED3"/>
    <w:rsid w:val="00507708"/>
    <w:rsid w:val="00516580"/>
    <w:rsid w:val="00546EB8"/>
    <w:rsid w:val="005D2A7A"/>
    <w:rsid w:val="005F1871"/>
    <w:rsid w:val="00600B56"/>
    <w:rsid w:val="006D2277"/>
    <w:rsid w:val="007436F8"/>
    <w:rsid w:val="007D67E0"/>
    <w:rsid w:val="00826362"/>
    <w:rsid w:val="008F012E"/>
    <w:rsid w:val="0091516E"/>
    <w:rsid w:val="009C0787"/>
    <w:rsid w:val="00A46E68"/>
    <w:rsid w:val="00A500A2"/>
    <w:rsid w:val="00B50548"/>
    <w:rsid w:val="00BF5A8B"/>
    <w:rsid w:val="00C16B1E"/>
    <w:rsid w:val="00C61815"/>
    <w:rsid w:val="00C7307A"/>
    <w:rsid w:val="00D4745F"/>
    <w:rsid w:val="00D544CA"/>
    <w:rsid w:val="00DD20BF"/>
    <w:rsid w:val="00E912AD"/>
    <w:rsid w:val="00EA1B85"/>
    <w:rsid w:val="00F62FAC"/>
    <w:rsid w:val="00F92050"/>
    <w:rsid w:val="00FB55D4"/>
    <w:rsid w:val="06C947A0"/>
    <w:rsid w:val="0AF93569"/>
    <w:rsid w:val="0C845B35"/>
    <w:rsid w:val="0DC163B7"/>
    <w:rsid w:val="0FD60138"/>
    <w:rsid w:val="10B1603A"/>
    <w:rsid w:val="110A6481"/>
    <w:rsid w:val="122D7E27"/>
    <w:rsid w:val="12CE4E68"/>
    <w:rsid w:val="19303370"/>
    <w:rsid w:val="1B232AE7"/>
    <w:rsid w:val="217B1617"/>
    <w:rsid w:val="21B26037"/>
    <w:rsid w:val="239448A4"/>
    <w:rsid w:val="25EA5BEB"/>
    <w:rsid w:val="27825800"/>
    <w:rsid w:val="298470CF"/>
    <w:rsid w:val="2B6C2E09"/>
    <w:rsid w:val="2EFE547D"/>
    <w:rsid w:val="2FA70302"/>
    <w:rsid w:val="31BB18D3"/>
    <w:rsid w:val="32EB3E7E"/>
    <w:rsid w:val="35B569D4"/>
    <w:rsid w:val="385E74CA"/>
    <w:rsid w:val="38BC7EA9"/>
    <w:rsid w:val="3A3145F6"/>
    <w:rsid w:val="3B7B2D17"/>
    <w:rsid w:val="3C2C7A04"/>
    <w:rsid w:val="3C5C1637"/>
    <w:rsid w:val="3DB11EF4"/>
    <w:rsid w:val="42492E4D"/>
    <w:rsid w:val="425D64CA"/>
    <w:rsid w:val="42C615B8"/>
    <w:rsid w:val="433462E7"/>
    <w:rsid w:val="45223343"/>
    <w:rsid w:val="4CC40B09"/>
    <w:rsid w:val="4F755034"/>
    <w:rsid w:val="50653CC8"/>
    <w:rsid w:val="507A7515"/>
    <w:rsid w:val="52A62A1F"/>
    <w:rsid w:val="5613192D"/>
    <w:rsid w:val="56D836B5"/>
    <w:rsid w:val="57FB7AFE"/>
    <w:rsid w:val="58BA6694"/>
    <w:rsid w:val="590F1D89"/>
    <w:rsid w:val="5EA41270"/>
    <w:rsid w:val="60673F83"/>
    <w:rsid w:val="681151C8"/>
    <w:rsid w:val="686C3140"/>
    <w:rsid w:val="6AD14D4C"/>
    <w:rsid w:val="6BFB7C75"/>
    <w:rsid w:val="6C8127EF"/>
    <w:rsid w:val="6D8B3775"/>
    <w:rsid w:val="6E3B6506"/>
    <w:rsid w:val="71884308"/>
    <w:rsid w:val="731E7DE9"/>
    <w:rsid w:val="762D75BA"/>
    <w:rsid w:val="76B75E81"/>
    <w:rsid w:val="79AC72A6"/>
    <w:rsid w:val="7ADC31B5"/>
    <w:rsid w:val="7E970E40"/>
    <w:rsid w:val="7ED45422"/>
    <w:rsid w:val="7FF7B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rFonts w:ascii="Times New Roman" w:hAnsi="Times New Roman" w:eastAsiaTheme="minorEastAsia"/>
      <w:b/>
      <w:kern w:val="44"/>
      <w:sz w:val="28"/>
    </w:rPr>
  </w:style>
  <w:style w:type="paragraph" w:styleId="3">
    <w:name w:val="heading 2"/>
    <w:basedOn w:val="2"/>
    <w:next w:val="1"/>
    <w:semiHidden/>
    <w:unhideWhenUsed/>
    <w:qFormat/>
    <w:uiPriority w:val="0"/>
    <w:pPr>
      <w:outlineLvl w:val="1"/>
    </w:pPr>
    <w:rPr>
      <w:rFonts w:eastAsia="宋体"/>
      <w:sz w:val="24"/>
    </w:rPr>
  </w:style>
  <w:style w:type="paragraph" w:styleId="4">
    <w:name w:val="heading 3"/>
    <w:basedOn w:val="3"/>
    <w:next w:val="1"/>
    <w:semiHidden/>
    <w:unhideWhenUsed/>
    <w:qFormat/>
    <w:uiPriority w:val="0"/>
    <w:pPr>
      <w:outlineLvl w:val="2"/>
    </w:pPr>
    <w:rPr>
      <w:rFonts w:eastAsiaTheme="majorEastAsia"/>
    </w:rPr>
  </w:style>
  <w:style w:type="paragraph" w:styleId="5">
    <w:name w:val="heading 4"/>
    <w:basedOn w:val="4"/>
    <w:next w:val="1"/>
    <w:semiHidden/>
    <w:unhideWhenUsed/>
    <w:qFormat/>
    <w:uiPriority w:val="0"/>
    <w:pPr>
      <w:outlineLvl w:val="3"/>
    </w:pPr>
    <w:rPr>
      <w:rFonts w:eastAsia="宋体"/>
    </w:rPr>
  </w:style>
  <w:style w:type="paragraph" w:styleId="6">
    <w:name w:val="heading 5"/>
    <w:basedOn w:val="5"/>
    <w:next w:val="1"/>
    <w:semiHidden/>
    <w:unhideWhenUsed/>
    <w:qFormat/>
    <w:uiPriority w:val="0"/>
    <w:pPr>
      <w:outlineLvl w:val="4"/>
    </w:p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annotation text"/>
    <w:basedOn w:val="1"/>
    <w:link w:val="17"/>
    <w:qFormat/>
    <w:uiPriority w:val="0"/>
    <w:pPr>
      <w:jc w:val="left"/>
    </w:pPr>
  </w:style>
  <w:style w:type="paragraph" w:styleId="8">
    <w:name w:val="Balloon Text"/>
    <w:basedOn w:val="1"/>
    <w:link w:val="22"/>
    <w:qFormat/>
    <w:uiPriority w:val="0"/>
    <w:pPr>
      <w:spacing w:line="240" w:lineRule="auto"/>
    </w:pPr>
    <w:rPr>
      <w:sz w:val="18"/>
      <w:szCs w:val="18"/>
    </w:rPr>
  </w:style>
  <w:style w:type="paragraph" w:styleId="9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0">
    <w:name w:val="header"/>
    <w:basedOn w:val="1"/>
    <w:link w:val="1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1">
    <w:name w:val="annotation subject"/>
    <w:basedOn w:val="7"/>
    <w:next w:val="7"/>
    <w:link w:val="18"/>
    <w:qFormat/>
    <w:uiPriority w:val="0"/>
    <w:rPr>
      <w:b/>
      <w:bCs/>
    </w:rPr>
  </w:style>
  <w:style w:type="character" w:styleId="14">
    <w:name w:val="annotation reference"/>
    <w:basedOn w:val="13"/>
    <w:qFormat/>
    <w:uiPriority w:val="0"/>
    <w:rPr>
      <w:sz w:val="21"/>
      <w:szCs w:val="21"/>
    </w:rPr>
  </w:style>
  <w:style w:type="paragraph" w:customStyle="1" w:styleId="15">
    <w:name w:val="一级标题"/>
    <w:qFormat/>
    <w:uiPriority w:val="0"/>
    <w:pPr>
      <w:keepNext/>
      <w:keepLines/>
      <w:widowControl w:val="0"/>
      <w:spacing w:line="360" w:lineRule="auto"/>
      <w:jc w:val="both"/>
      <w:outlineLvl w:val="0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paragraph" w:customStyle="1" w:styleId="16">
    <w:name w:val="二级标题"/>
    <w:qFormat/>
    <w:uiPriority w:val="0"/>
    <w:pPr>
      <w:keepNext/>
      <w:keepLines/>
      <w:widowControl w:val="0"/>
      <w:spacing w:line="360" w:lineRule="auto"/>
      <w:jc w:val="both"/>
      <w:outlineLvl w:val="1"/>
    </w:pPr>
    <w:rPr>
      <w:rFonts w:ascii="Times New Roman" w:hAnsi="Times New Roman" w:eastAsia="宋体" w:cs="Times New Roman"/>
      <w:b/>
      <w:bCs/>
      <w:kern w:val="2"/>
      <w:sz w:val="24"/>
      <w:szCs w:val="32"/>
      <w:lang w:val="en-US" w:eastAsia="zh-CN" w:bidi="ar-SA"/>
    </w:rPr>
  </w:style>
  <w:style w:type="character" w:customStyle="1" w:styleId="17">
    <w:name w:val="批注文字 Char"/>
    <w:basedOn w:val="13"/>
    <w:link w:val="7"/>
    <w:qFormat/>
    <w:uiPriority w:val="0"/>
    <w:rPr>
      <w:rFonts w:eastAsia="宋体"/>
      <w:kern w:val="2"/>
      <w:sz w:val="24"/>
      <w:szCs w:val="22"/>
    </w:rPr>
  </w:style>
  <w:style w:type="character" w:customStyle="1" w:styleId="18">
    <w:name w:val="批注主题 Char"/>
    <w:basedOn w:val="17"/>
    <w:link w:val="11"/>
    <w:qFormat/>
    <w:uiPriority w:val="0"/>
    <w:rPr>
      <w:rFonts w:eastAsia="宋体"/>
      <w:b/>
      <w:bCs/>
      <w:kern w:val="2"/>
      <w:sz w:val="24"/>
      <w:szCs w:val="22"/>
    </w:rPr>
  </w:style>
  <w:style w:type="character" w:customStyle="1" w:styleId="19">
    <w:name w:val="页眉 Char"/>
    <w:basedOn w:val="13"/>
    <w:link w:val="10"/>
    <w:qFormat/>
    <w:uiPriority w:val="0"/>
    <w:rPr>
      <w:rFonts w:eastAsia="宋体"/>
      <w:kern w:val="2"/>
      <w:sz w:val="18"/>
      <w:szCs w:val="18"/>
    </w:rPr>
  </w:style>
  <w:style w:type="character" w:customStyle="1" w:styleId="20">
    <w:name w:val="页脚 Char"/>
    <w:basedOn w:val="13"/>
    <w:link w:val="9"/>
    <w:qFormat/>
    <w:uiPriority w:val="0"/>
    <w:rPr>
      <w:rFonts w:eastAsia="宋体"/>
      <w:kern w:val="2"/>
      <w:sz w:val="18"/>
      <w:szCs w:val="18"/>
    </w:rPr>
  </w:style>
  <w:style w:type="paragraph" w:customStyle="1" w:styleId="21">
    <w:name w:val="Revision"/>
    <w:hidden/>
    <w:unhideWhenUsed/>
    <w:qFormat/>
    <w:uiPriority w:val="99"/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character" w:customStyle="1" w:styleId="22">
    <w:name w:val="批注框文本 Char"/>
    <w:basedOn w:val="13"/>
    <w:link w:val="8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893</Words>
  <Characters>1036</Characters>
  <Lines>14</Lines>
  <Paragraphs>4</Paragraphs>
  <TotalTime>0</TotalTime>
  <ScaleCrop>false</ScaleCrop>
  <LinksUpToDate>false</LinksUpToDate>
  <CharactersWithSpaces>1043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2025-10-28T05:15:00Z</dcterms:created>
  <dc:creator>凌婕</dc:creator>
  <cp:lastModifiedBy>gxxc</cp:lastModifiedBy>
  <dcterms:modified xsi:type="dcterms:W3CDTF">2025-12-25T10:39:23Z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8B51EF2E6BE84F4A875A6AF495384AD8_13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